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C174B5" w14:paraId="536269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41C582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4142F7D3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</w:tcPr>
          <w:p w14:paraId="412A2D33" w14:textId="77777777" w:rsidR="00C174B5" w:rsidRDefault="00C174B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A14C550" w14:textId="77777777" w:rsidR="00C174B5" w:rsidRDefault="00C174B5">
            <w:pPr>
              <w:pStyle w:val="EMPTYCELLSTYLE"/>
            </w:pPr>
          </w:p>
        </w:tc>
        <w:tc>
          <w:tcPr>
            <w:tcW w:w="320" w:type="dxa"/>
          </w:tcPr>
          <w:p w14:paraId="59E241FD" w14:textId="77777777" w:rsidR="00C174B5" w:rsidRDefault="00C174B5">
            <w:pPr>
              <w:pStyle w:val="EMPTYCELLSTYLE"/>
            </w:pPr>
          </w:p>
        </w:tc>
        <w:tc>
          <w:tcPr>
            <w:tcW w:w="780" w:type="dxa"/>
          </w:tcPr>
          <w:p w14:paraId="580A5C07" w14:textId="77777777" w:rsidR="00C174B5" w:rsidRDefault="00C174B5">
            <w:pPr>
              <w:pStyle w:val="EMPTYCELLSTYLE"/>
            </w:pPr>
          </w:p>
        </w:tc>
        <w:tc>
          <w:tcPr>
            <w:tcW w:w="1020" w:type="dxa"/>
          </w:tcPr>
          <w:p w14:paraId="20795F92" w14:textId="77777777" w:rsidR="00C174B5" w:rsidRDefault="00C174B5">
            <w:pPr>
              <w:pStyle w:val="EMPTYCELLSTYLE"/>
            </w:pPr>
          </w:p>
        </w:tc>
        <w:tc>
          <w:tcPr>
            <w:tcW w:w="80" w:type="dxa"/>
          </w:tcPr>
          <w:p w14:paraId="6B543482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86F6294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04258B48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2F5CEF85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B5D9B28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71161F33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78B7E74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42308375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2FF24C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7C6F42CB" w14:textId="77777777" w:rsidR="00C174B5" w:rsidRDefault="00C174B5">
            <w:pPr>
              <w:pStyle w:val="EMPTYCELLSTYLE"/>
            </w:pPr>
          </w:p>
        </w:tc>
      </w:tr>
      <w:tr w:rsidR="00C174B5" w14:paraId="7C44ABA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16C675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36C512BA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</w:tcPr>
          <w:p w14:paraId="416C4429" w14:textId="77777777" w:rsidR="00C174B5" w:rsidRDefault="00C174B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17FAEFC" w14:textId="77777777" w:rsidR="00C174B5" w:rsidRDefault="00C174B5">
            <w:pPr>
              <w:pStyle w:val="EMPTYCELLSTYLE"/>
            </w:pPr>
          </w:p>
        </w:tc>
        <w:tc>
          <w:tcPr>
            <w:tcW w:w="320" w:type="dxa"/>
          </w:tcPr>
          <w:p w14:paraId="4A68EE6F" w14:textId="77777777" w:rsidR="00C174B5" w:rsidRDefault="00C174B5">
            <w:pPr>
              <w:pStyle w:val="EMPTYCELLSTYLE"/>
            </w:pPr>
          </w:p>
        </w:tc>
        <w:tc>
          <w:tcPr>
            <w:tcW w:w="780" w:type="dxa"/>
          </w:tcPr>
          <w:p w14:paraId="368FFFF3" w14:textId="77777777" w:rsidR="00C174B5" w:rsidRDefault="00C174B5">
            <w:pPr>
              <w:pStyle w:val="EMPTYCELLSTYLE"/>
            </w:pPr>
          </w:p>
        </w:tc>
        <w:tc>
          <w:tcPr>
            <w:tcW w:w="1020" w:type="dxa"/>
          </w:tcPr>
          <w:p w14:paraId="4D5AEF22" w14:textId="77777777" w:rsidR="00C174B5" w:rsidRDefault="00C174B5">
            <w:pPr>
              <w:pStyle w:val="EMPTYCELLSTYLE"/>
            </w:pPr>
          </w:p>
        </w:tc>
        <w:tc>
          <w:tcPr>
            <w:tcW w:w="80" w:type="dxa"/>
          </w:tcPr>
          <w:p w14:paraId="3494CDB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4BA56BBB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2422B4E2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628214AC" w14:textId="77777777" w:rsidR="00C174B5" w:rsidRDefault="00C174B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EAC5" w14:textId="77777777" w:rsidR="00C174B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1BE4AB5" w14:textId="77777777" w:rsidR="00C174B5" w:rsidRDefault="00C174B5">
            <w:pPr>
              <w:pStyle w:val="EMPTYCELLSTYLE"/>
            </w:pPr>
          </w:p>
        </w:tc>
      </w:tr>
      <w:tr w:rsidR="00C174B5" w14:paraId="4615130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1797AA9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5C638C45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</w:tcPr>
          <w:p w14:paraId="72091C0A" w14:textId="77777777" w:rsidR="00C174B5" w:rsidRDefault="00C174B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8597D4" w14:textId="77777777" w:rsidR="00C174B5" w:rsidRDefault="00C174B5">
            <w:pPr>
              <w:pStyle w:val="EMPTYCELLSTYLE"/>
            </w:pPr>
          </w:p>
        </w:tc>
        <w:tc>
          <w:tcPr>
            <w:tcW w:w="320" w:type="dxa"/>
          </w:tcPr>
          <w:p w14:paraId="3A1E84F2" w14:textId="77777777" w:rsidR="00C174B5" w:rsidRDefault="00C174B5">
            <w:pPr>
              <w:pStyle w:val="EMPTYCELLSTYLE"/>
            </w:pPr>
          </w:p>
        </w:tc>
        <w:tc>
          <w:tcPr>
            <w:tcW w:w="780" w:type="dxa"/>
          </w:tcPr>
          <w:p w14:paraId="3FDF0517" w14:textId="77777777" w:rsidR="00C174B5" w:rsidRDefault="00C174B5">
            <w:pPr>
              <w:pStyle w:val="EMPTYCELLSTYLE"/>
            </w:pPr>
          </w:p>
        </w:tc>
        <w:tc>
          <w:tcPr>
            <w:tcW w:w="1020" w:type="dxa"/>
          </w:tcPr>
          <w:p w14:paraId="69D320A4" w14:textId="77777777" w:rsidR="00C174B5" w:rsidRDefault="00C174B5">
            <w:pPr>
              <w:pStyle w:val="EMPTYCELLSTYLE"/>
            </w:pPr>
          </w:p>
        </w:tc>
        <w:tc>
          <w:tcPr>
            <w:tcW w:w="80" w:type="dxa"/>
          </w:tcPr>
          <w:p w14:paraId="639812E3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5C196A1A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560846E7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694F57F" w14:textId="77777777" w:rsidR="00C174B5" w:rsidRDefault="00C174B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B9FD" w14:textId="77777777" w:rsidR="00C174B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9DE093C" w14:textId="77777777" w:rsidR="00C174B5" w:rsidRDefault="00C174B5">
            <w:pPr>
              <w:pStyle w:val="EMPTYCELLSTYLE"/>
            </w:pPr>
          </w:p>
        </w:tc>
      </w:tr>
      <w:tr w:rsidR="00C174B5" w14:paraId="338A958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1887B71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46DD9" w14:textId="77777777" w:rsidR="00C174B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B2708D4" w14:textId="77777777" w:rsidR="00C174B5" w:rsidRDefault="00C174B5">
            <w:pPr>
              <w:pStyle w:val="EMPTYCELLSTYLE"/>
            </w:pPr>
          </w:p>
        </w:tc>
      </w:tr>
      <w:tr w:rsidR="00C174B5" w14:paraId="54B368D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697B7E1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3064" w14:textId="77777777" w:rsidR="00C174B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22B5DA0" w14:textId="77777777" w:rsidR="00C174B5" w:rsidRDefault="00C174B5">
            <w:pPr>
              <w:pStyle w:val="EMPTYCELLSTYLE"/>
            </w:pPr>
          </w:p>
        </w:tc>
      </w:tr>
      <w:tr w:rsidR="00C174B5" w14:paraId="79248E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C8DB6B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9658E9" w14:textId="77777777" w:rsidR="00C174B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DDAF99" w14:textId="77777777" w:rsidR="00C174B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A65FF8" w14:textId="77777777" w:rsidR="00C174B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BC6956" w14:textId="77777777" w:rsidR="00C174B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221E394" w14:textId="77777777" w:rsidR="00C174B5" w:rsidRDefault="00C174B5">
            <w:pPr>
              <w:pStyle w:val="EMPTYCELLSTYLE"/>
            </w:pPr>
          </w:p>
        </w:tc>
      </w:tr>
      <w:tr w:rsidR="00C174B5" w14:paraId="0010E28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83D62E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7EBC5223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A80818" w14:textId="77777777" w:rsidR="00C174B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4B5277" w14:textId="77777777" w:rsidR="00C174B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A77F98" w14:textId="77777777" w:rsidR="00C174B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6D68DF5" w14:textId="77777777" w:rsidR="00C174B5" w:rsidRDefault="00C174B5">
            <w:pPr>
              <w:pStyle w:val="EMPTYCELLSTYLE"/>
            </w:pPr>
          </w:p>
        </w:tc>
      </w:tr>
      <w:tr w:rsidR="00C174B5" w14:paraId="3B18BCF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CDEA98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AD957F" w14:textId="77777777" w:rsidR="00C174B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4D0D2B" w14:textId="77777777" w:rsidR="00C174B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FEF0E7" w14:textId="77777777" w:rsidR="00C174B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6CB64B" w14:textId="77777777" w:rsidR="00C174B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9A360F" w14:textId="77777777" w:rsidR="00C174B5" w:rsidRDefault="00C174B5">
            <w:pPr>
              <w:pStyle w:val="EMPTYCELLSTYLE"/>
            </w:pPr>
          </w:p>
        </w:tc>
      </w:tr>
      <w:tr w:rsidR="00C174B5" w14:paraId="1B2E62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16D9BA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6AAB87AA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806F74" w14:textId="77777777" w:rsidR="00C174B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40A828" w14:textId="77777777" w:rsidR="00C174B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7FD968" w14:textId="77777777" w:rsidR="00C174B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1C41A36" w14:textId="77777777" w:rsidR="00C174B5" w:rsidRDefault="00C174B5">
            <w:pPr>
              <w:pStyle w:val="EMPTYCELLSTYLE"/>
            </w:pPr>
          </w:p>
        </w:tc>
      </w:tr>
      <w:tr w:rsidR="00C174B5" w14:paraId="5F2793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8AB299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F277F1" w14:textId="77777777" w:rsidR="00C174B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F022A7" w14:textId="77777777" w:rsidR="00C174B5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6E5328" w14:textId="77777777" w:rsidR="00C174B5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79145A" w14:textId="77777777" w:rsidR="00C174B5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E8CF9" w14:textId="77777777" w:rsidR="00C174B5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та </w:t>
            </w:r>
            <w:proofErr w:type="spellStart"/>
            <w:r>
              <w:t>добровільної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4302DA" w14:textId="77777777" w:rsidR="00C174B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CD1293B" w14:textId="77777777" w:rsidR="00C174B5" w:rsidRDefault="00C174B5">
            <w:pPr>
              <w:pStyle w:val="EMPTYCELLSTYLE"/>
            </w:pPr>
          </w:p>
        </w:tc>
      </w:tr>
      <w:tr w:rsidR="00C174B5" w14:paraId="5A4583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5551C3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402E53C5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93AB" w14:textId="77777777" w:rsidR="00C174B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DE90" w14:textId="77777777" w:rsidR="00C174B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132D" w14:textId="77777777" w:rsidR="00C174B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8F86" w14:textId="77777777" w:rsidR="00C174B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C9EB" w14:textId="77777777" w:rsidR="00C174B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80105B9" w14:textId="77777777" w:rsidR="00C174B5" w:rsidRDefault="00C174B5">
            <w:pPr>
              <w:pStyle w:val="EMPTYCELLSTYLE"/>
            </w:pPr>
          </w:p>
        </w:tc>
      </w:tr>
      <w:tr w:rsidR="00C174B5" w14:paraId="60184D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DBDB7A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ADCB" w14:textId="77777777" w:rsidR="00C174B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53AE963" w14:textId="77777777" w:rsidR="00C174B5" w:rsidRDefault="00C174B5">
            <w:pPr>
              <w:pStyle w:val="EMPTYCELLSTYLE"/>
            </w:pPr>
          </w:p>
        </w:tc>
      </w:tr>
      <w:tr w:rsidR="00C174B5" w14:paraId="67D3F7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74A04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9491" w14:textId="77777777" w:rsidR="00C174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512D" w14:textId="77777777" w:rsidR="00C174B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3E3DE4C" w14:textId="77777777" w:rsidR="00C174B5" w:rsidRDefault="00C174B5">
            <w:pPr>
              <w:pStyle w:val="EMPTYCELLSTYLE"/>
            </w:pPr>
          </w:p>
        </w:tc>
      </w:tr>
      <w:tr w:rsidR="00C174B5" w14:paraId="0C2CF9C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C0624F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83C4D" w14:textId="77777777" w:rsidR="00C174B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E3A61" w14:textId="77777777" w:rsidR="00C174B5" w:rsidRDefault="00000000">
            <w:pPr>
              <w:ind w:left="60"/>
            </w:pP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і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приватної</w:t>
            </w:r>
            <w:proofErr w:type="spellEnd"/>
            <w:r>
              <w:t xml:space="preserve">, </w:t>
            </w:r>
            <w:proofErr w:type="spellStart"/>
            <w:r>
              <w:t>колективної</w:t>
            </w:r>
            <w:proofErr w:type="spellEnd"/>
            <w:r>
              <w:t xml:space="preserve"> та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, </w:t>
            </w:r>
            <w:proofErr w:type="spellStart"/>
            <w:r>
              <w:t>підтримання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підприємствах</w:t>
            </w:r>
            <w:proofErr w:type="spellEnd"/>
            <w:r>
              <w:t xml:space="preserve">, </w:t>
            </w:r>
            <w:proofErr w:type="spellStart"/>
            <w:r>
              <w:t>установах</w:t>
            </w:r>
            <w:proofErr w:type="spellEnd"/>
            <w:r>
              <w:t xml:space="preserve">, </w:t>
            </w:r>
            <w:proofErr w:type="spellStart"/>
            <w:r>
              <w:t>організаціях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6A925DFF" w14:textId="77777777" w:rsidR="00C174B5" w:rsidRDefault="00C174B5">
            <w:pPr>
              <w:pStyle w:val="EMPTYCELLSTYLE"/>
            </w:pPr>
          </w:p>
        </w:tc>
      </w:tr>
      <w:tr w:rsidR="00C174B5" w14:paraId="217C89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476D741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A68A" w14:textId="77777777" w:rsidR="00C174B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1FDD261" w14:textId="77777777" w:rsidR="00C174B5" w:rsidRDefault="00C174B5">
            <w:pPr>
              <w:pStyle w:val="EMPTYCELLSTYLE"/>
            </w:pPr>
          </w:p>
        </w:tc>
      </w:tr>
      <w:tr w:rsidR="00C174B5" w14:paraId="538F5D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AD87A0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E7BB" w14:textId="77777777" w:rsidR="00C174B5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571ECC45" w14:textId="77777777" w:rsidR="00C174B5" w:rsidRDefault="00C174B5">
            <w:pPr>
              <w:pStyle w:val="EMPTYCELLSTYLE"/>
            </w:pPr>
          </w:p>
        </w:tc>
      </w:tr>
      <w:tr w:rsidR="00C174B5" w14:paraId="4930D4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F03626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435A2586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</w:tcPr>
          <w:p w14:paraId="745E57B9" w14:textId="77777777" w:rsidR="00C174B5" w:rsidRDefault="00C174B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585070" w14:textId="77777777" w:rsidR="00C174B5" w:rsidRDefault="00C174B5">
            <w:pPr>
              <w:pStyle w:val="EMPTYCELLSTYLE"/>
            </w:pPr>
          </w:p>
        </w:tc>
        <w:tc>
          <w:tcPr>
            <w:tcW w:w="320" w:type="dxa"/>
          </w:tcPr>
          <w:p w14:paraId="7112B8D1" w14:textId="77777777" w:rsidR="00C174B5" w:rsidRDefault="00C174B5">
            <w:pPr>
              <w:pStyle w:val="EMPTYCELLSTYLE"/>
            </w:pPr>
          </w:p>
        </w:tc>
        <w:tc>
          <w:tcPr>
            <w:tcW w:w="780" w:type="dxa"/>
          </w:tcPr>
          <w:p w14:paraId="76492BD9" w14:textId="77777777" w:rsidR="00C174B5" w:rsidRDefault="00C174B5">
            <w:pPr>
              <w:pStyle w:val="EMPTYCELLSTYLE"/>
            </w:pPr>
          </w:p>
        </w:tc>
        <w:tc>
          <w:tcPr>
            <w:tcW w:w="1020" w:type="dxa"/>
          </w:tcPr>
          <w:p w14:paraId="702422D5" w14:textId="77777777" w:rsidR="00C174B5" w:rsidRDefault="00C174B5">
            <w:pPr>
              <w:pStyle w:val="EMPTYCELLSTYLE"/>
            </w:pPr>
          </w:p>
        </w:tc>
        <w:tc>
          <w:tcPr>
            <w:tcW w:w="80" w:type="dxa"/>
          </w:tcPr>
          <w:p w14:paraId="35594116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C22BEA3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BF83E4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D7A9D3D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03EEE669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7F09F4ED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3C061D70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51A4168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01CFEE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2392937C" w14:textId="77777777" w:rsidR="00C174B5" w:rsidRDefault="00C174B5">
            <w:pPr>
              <w:pStyle w:val="EMPTYCELLSTYLE"/>
            </w:pPr>
          </w:p>
        </w:tc>
      </w:tr>
      <w:tr w:rsidR="00C174B5" w14:paraId="7F3705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1539997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372F" w14:textId="77777777" w:rsidR="00C174B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AA9CD55" w14:textId="77777777" w:rsidR="00C174B5" w:rsidRDefault="00C174B5">
            <w:pPr>
              <w:pStyle w:val="EMPTYCELLSTYLE"/>
            </w:pPr>
          </w:p>
        </w:tc>
      </w:tr>
      <w:tr w:rsidR="00C174B5" w14:paraId="4E6299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E488B6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B8F5" w14:textId="77777777" w:rsidR="00C174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7F2C" w14:textId="77777777" w:rsidR="00C174B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354919A" w14:textId="77777777" w:rsidR="00C174B5" w:rsidRDefault="00C174B5">
            <w:pPr>
              <w:pStyle w:val="EMPTYCELLSTYLE"/>
            </w:pPr>
          </w:p>
        </w:tc>
      </w:tr>
      <w:tr w:rsidR="00C174B5" w14:paraId="3123BA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B6643E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08300" w14:textId="77777777" w:rsidR="00C174B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E8718" w14:textId="77777777" w:rsidR="00C174B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1131735F" w14:textId="77777777" w:rsidR="00C174B5" w:rsidRDefault="00C174B5">
            <w:pPr>
              <w:pStyle w:val="EMPTYCELLSTYLE"/>
            </w:pPr>
          </w:p>
        </w:tc>
      </w:tr>
      <w:tr w:rsidR="00C174B5" w14:paraId="5BF166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AB7405" w14:textId="77777777" w:rsidR="00C174B5" w:rsidRDefault="00C174B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CBD1" w14:textId="77777777" w:rsidR="00C174B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F2DEF42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5040AB1D" w14:textId="77777777" w:rsidR="00C174B5" w:rsidRDefault="00C174B5">
            <w:pPr>
              <w:pStyle w:val="EMPTYCELLSTYLE"/>
            </w:pPr>
          </w:p>
        </w:tc>
      </w:tr>
      <w:tr w:rsidR="00C174B5" w14:paraId="129FF8B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F07D56" w14:textId="77777777" w:rsidR="00C174B5" w:rsidRDefault="00C174B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22A2" w14:textId="77777777" w:rsidR="00C174B5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70E8B40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6400ED64" w14:textId="77777777" w:rsidR="00C174B5" w:rsidRDefault="00C174B5">
            <w:pPr>
              <w:pStyle w:val="EMPTYCELLSTYLE"/>
            </w:pPr>
          </w:p>
        </w:tc>
      </w:tr>
      <w:tr w:rsidR="00C174B5" w14:paraId="282111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1425DF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05FD9CC1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</w:tcPr>
          <w:p w14:paraId="6D734930" w14:textId="77777777" w:rsidR="00C174B5" w:rsidRDefault="00C174B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CBB5AA" w14:textId="77777777" w:rsidR="00C174B5" w:rsidRDefault="00C174B5">
            <w:pPr>
              <w:pStyle w:val="EMPTYCELLSTYLE"/>
            </w:pPr>
          </w:p>
        </w:tc>
        <w:tc>
          <w:tcPr>
            <w:tcW w:w="320" w:type="dxa"/>
          </w:tcPr>
          <w:p w14:paraId="74052514" w14:textId="77777777" w:rsidR="00C174B5" w:rsidRDefault="00C174B5">
            <w:pPr>
              <w:pStyle w:val="EMPTYCELLSTYLE"/>
            </w:pPr>
          </w:p>
        </w:tc>
        <w:tc>
          <w:tcPr>
            <w:tcW w:w="780" w:type="dxa"/>
          </w:tcPr>
          <w:p w14:paraId="046C66E2" w14:textId="77777777" w:rsidR="00C174B5" w:rsidRDefault="00C174B5">
            <w:pPr>
              <w:pStyle w:val="EMPTYCELLSTYLE"/>
            </w:pPr>
          </w:p>
        </w:tc>
        <w:tc>
          <w:tcPr>
            <w:tcW w:w="1020" w:type="dxa"/>
          </w:tcPr>
          <w:p w14:paraId="4DB38DE5" w14:textId="77777777" w:rsidR="00C174B5" w:rsidRDefault="00C174B5">
            <w:pPr>
              <w:pStyle w:val="EMPTYCELLSTYLE"/>
            </w:pPr>
          </w:p>
        </w:tc>
        <w:tc>
          <w:tcPr>
            <w:tcW w:w="80" w:type="dxa"/>
          </w:tcPr>
          <w:p w14:paraId="7C5760F4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F2F7DE1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BFD09B7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556A7750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70701CFD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8150974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7A185E36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13E32ADE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33D5" w14:textId="77777777" w:rsidR="00C174B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6013A28" w14:textId="77777777" w:rsidR="00C174B5" w:rsidRDefault="00C174B5">
            <w:pPr>
              <w:pStyle w:val="EMPTYCELLSTYLE"/>
            </w:pPr>
          </w:p>
        </w:tc>
      </w:tr>
      <w:tr w:rsidR="00C174B5" w14:paraId="66BBA58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9D0D45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D7B2" w14:textId="77777777" w:rsidR="00C174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BA62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F8AC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CBBB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987B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3956E78" w14:textId="77777777" w:rsidR="00C174B5" w:rsidRDefault="00C174B5">
            <w:pPr>
              <w:pStyle w:val="EMPTYCELLSTYLE"/>
            </w:pPr>
          </w:p>
        </w:tc>
      </w:tr>
      <w:tr w:rsidR="00C174B5" w14:paraId="7878F7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C9B46F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ED5A" w14:textId="77777777" w:rsidR="00C174B5" w:rsidRDefault="00C174B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662B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5C9C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901C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47EF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6A6C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9FD5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65C0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5981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9324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876B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28D0EAF" w14:textId="77777777" w:rsidR="00C174B5" w:rsidRDefault="00C174B5">
            <w:pPr>
              <w:pStyle w:val="EMPTYCELLSTYLE"/>
            </w:pPr>
          </w:p>
        </w:tc>
      </w:tr>
      <w:tr w:rsidR="00C174B5" w14:paraId="5DE9A9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CA8EAA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0061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3CF0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A9C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914D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33A8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7119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A758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BDF3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EB17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CD11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B47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B22B795" w14:textId="77777777" w:rsidR="00C174B5" w:rsidRDefault="00C174B5">
            <w:pPr>
              <w:pStyle w:val="EMPTYCELLSTYLE"/>
            </w:pPr>
          </w:p>
        </w:tc>
      </w:tr>
      <w:tr w:rsidR="00C174B5" w14:paraId="5C389B4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80F833F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AF728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88942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пунктах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нещасним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випадкам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гасіння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666A5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3198337,00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C8E3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90916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3198337,00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E4572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3185769,86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ADF95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047AD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3185769,86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A6494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-12567,14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16C78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ADDE3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-12567,14</w:t>
            </w:r>
          </w:p>
        </w:tc>
        <w:tc>
          <w:tcPr>
            <w:tcW w:w="400" w:type="dxa"/>
          </w:tcPr>
          <w:p w14:paraId="232EF9F9" w14:textId="77777777" w:rsidR="00C174B5" w:rsidRDefault="00C174B5">
            <w:pPr>
              <w:pStyle w:val="EMPTYCELLSTYLE"/>
            </w:pPr>
          </w:p>
        </w:tc>
      </w:tr>
      <w:tr w:rsidR="00C174B5" w14:paraId="308F43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2A8BF45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1EBE6574" w14:textId="77777777" w:rsidR="00C174B5" w:rsidRDefault="00C174B5">
            <w:pPr>
              <w:pStyle w:val="EMPTYCELLSTYLE"/>
            </w:pPr>
          </w:p>
        </w:tc>
        <w:tc>
          <w:tcPr>
            <w:tcW w:w="2560" w:type="dxa"/>
          </w:tcPr>
          <w:p w14:paraId="0946CD24" w14:textId="77777777" w:rsidR="00C174B5" w:rsidRDefault="00C174B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C3898D2" w14:textId="77777777" w:rsidR="00C174B5" w:rsidRDefault="00C174B5">
            <w:pPr>
              <w:pStyle w:val="EMPTYCELLSTYLE"/>
            </w:pPr>
          </w:p>
        </w:tc>
        <w:tc>
          <w:tcPr>
            <w:tcW w:w="320" w:type="dxa"/>
          </w:tcPr>
          <w:p w14:paraId="224B99B7" w14:textId="77777777" w:rsidR="00C174B5" w:rsidRDefault="00C174B5">
            <w:pPr>
              <w:pStyle w:val="EMPTYCELLSTYLE"/>
            </w:pPr>
          </w:p>
        </w:tc>
        <w:tc>
          <w:tcPr>
            <w:tcW w:w="780" w:type="dxa"/>
          </w:tcPr>
          <w:p w14:paraId="4954CAD6" w14:textId="77777777" w:rsidR="00C174B5" w:rsidRDefault="00C174B5">
            <w:pPr>
              <w:pStyle w:val="EMPTYCELLSTYLE"/>
            </w:pPr>
          </w:p>
        </w:tc>
        <w:tc>
          <w:tcPr>
            <w:tcW w:w="1020" w:type="dxa"/>
          </w:tcPr>
          <w:p w14:paraId="54F646E9" w14:textId="77777777" w:rsidR="00C174B5" w:rsidRDefault="00C174B5">
            <w:pPr>
              <w:pStyle w:val="EMPTYCELLSTYLE"/>
            </w:pPr>
          </w:p>
        </w:tc>
        <w:tc>
          <w:tcPr>
            <w:tcW w:w="80" w:type="dxa"/>
          </w:tcPr>
          <w:p w14:paraId="070B4A51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572EA798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3E04577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DD5B881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4B13F146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571BDE0C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63226778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39E86320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2F981F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73EB9A66" w14:textId="77777777" w:rsidR="00C174B5" w:rsidRDefault="00C174B5">
            <w:pPr>
              <w:pStyle w:val="EMPTYCELLSTYLE"/>
            </w:pPr>
          </w:p>
        </w:tc>
      </w:tr>
      <w:tr w:rsidR="00C174B5" w14:paraId="5ED0FE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23163E" w14:textId="77777777" w:rsidR="00C174B5" w:rsidRDefault="00C174B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190151" w14:textId="77777777" w:rsidR="00C174B5" w:rsidRDefault="00C174B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54747D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0905DE1E" w14:textId="77777777" w:rsidR="00C174B5" w:rsidRDefault="00C174B5">
            <w:pPr>
              <w:pStyle w:val="EMPTYCELLSTYLE"/>
            </w:pPr>
          </w:p>
        </w:tc>
        <w:tc>
          <w:tcPr>
            <w:tcW w:w="1440" w:type="dxa"/>
          </w:tcPr>
          <w:p w14:paraId="4126DE5E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2DA234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B46780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53F385B2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405CE298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466DAE65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78C835F9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3CB9721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71A8A1" w14:textId="77777777" w:rsidR="00C174B5" w:rsidRDefault="00C174B5">
            <w:pPr>
              <w:pStyle w:val="EMPTYCELLSTYLE"/>
            </w:pPr>
          </w:p>
        </w:tc>
        <w:tc>
          <w:tcPr>
            <w:tcW w:w="440" w:type="dxa"/>
          </w:tcPr>
          <w:p w14:paraId="375EE196" w14:textId="77777777" w:rsidR="00C174B5" w:rsidRDefault="00C174B5">
            <w:pPr>
              <w:pStyle w:val="EMPTYCELLSTYLE"/>
            </w:pPr>
          </w:p>
        </w:tc>
        <w:tc>
          <w:tcPr>
            <w:tcW w:w="660" w:type="dxa"/>
          </w:tcPr>
          <w:p w14:paraId="4E00FAB4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169EA29C" w14:textId="77777777" w:rsidR="00C174B5" w:rsidRDefault="00C174B5">
            <w:pPr>
              <w:pStyle w:val="EMPTYCELLSTYLE"/>
            </w:pPr>
          </w:p>
        </w:tc>
      </w:tr>
      <w:tr w:rsidR="00C174B5" w14:paraId="7498C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C55D0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96A8" w14:textId="77777777" w:rsidR="00C174B5" w:rsidRDefault="00C174B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7EF3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11AE7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3198337,00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1D59A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C4BEF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3198337,00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A0B9B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3185769,86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C15D9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EE5D3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3185769,86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387C6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-12567,14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C92A5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28402" w14:textId="77777777" w:rsidR="00C174B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-12567,14</w:t>
            </w:r>
          </w:p>
        </w:tc>
        <w:tc>
          <w:tcPr>
            <w:tcW w:w="400" w:type="dxa"/>
          </w:tcPr>
          <w:p w14:paraId="20AEFFD2" w14:textId="77777777" w:rsidR="00C174B5" w:rsidRDefault="00C174B5">
            <w:pPr>
              <w:pStyle w:val="EMPTYCELLSTYLE"/>
            </w:pPr>
          </w:p>
        </w:tc>
      </w:tr>
      <w:tr w:rsidR="00C174B5" w14:paraId="02B1BCC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4EACAC2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5E71300B" w14:textId="77777777" w:rsidR="00C174B5" w:rsidRDefault="00C174B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74CFF59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FECBBA5" w14:textId="77777777" w:rsidR="00C174B5" w:rsidRDefault="00C174B5">
            <w:pPr>
              <w:pStyle w:val="EMPTYCELLSTYLE"/>
            </w:pPr>
          </w:p>
        </w:tc>
        <w:tc>
          <w:tcPr>
            <w:tcW w:w="1440" w:type="dxa"/>
          </w:tcPr>
          <w:p w14:paraId="57E77943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23F4C0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715BCB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73DB3FC1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D29B41E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03EFB70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E4DFA2A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082D694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6EC3E2" w14:textId="77777777" w:rsidR="00C174B5" w:rsidRDefault="00C174B5">
            <w:pPr>
              <w:pStyle w:val="EMPTYCELLSTYLE"/>
            </w:pPr>
          </w:p>
        </w:tc>
        <w:tc>
          <w:tcPr>
            <w:tcW w:w="440" w:type="dxa"/>
          </w:tcPr>
          <w:p w14:paraId="025D7FF6" w14:textId="77777777" w:rsidR="00C174B5" w:rsidRDefault="00C174B5">
            <w:pPr>
              <w:pStyle w:val="EMPTYCELLSTYLE"/>
            </w:pPr>
          </w:p>
        </w:tc>
        <w:tc>
          <w:tcPr>
            <w:tcW w:w="660" w:type="dxa"/>
          </w:tcPr>
          <w:p w14:paraId="58029F16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779DFAF7" w14:textId="77777777" w:rsidR="00C174B5" w:rsidRDefault="00C174B5">
            <w:pPr>
              <w:pStyle w:val="EMPTYCELLSTYLE"/>
            </w:pPr>
          </w:p>
        </w:tc>
      </w:tr>
      <w:tr w:rsidR="00C174B5" w14:paraId="39ACF46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7A32F05" w14:textId="77777777" w:rsidR="00C174B5" w:rsidRDefault="00C174B5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DD23" w14:textId="77777777" w:rsidR="00C174B5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4E35E1B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519E1C35" w14:textId="77777777" w:rsidR="00C174B5" w:rsidRDefault="00C174B5">
            <w:pPr>
              <w:pStyle w:val="EMPTYCELLSTYLE"/>
            </w:pPr>
          </w:p>
        </w:tc>
      </w:tr>
      <w:tr w:rsidR="00C174B5" w14:paraId="23E0ED9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B28AA0C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62A8" w14:textId="77777777" w:rsidR="00C174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87C4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0E566803" w14:textId="77777777" w:rsidR="00C174B5" w:rsidRDefault="00C174B5">
            <w:pPr>
              <w:pStyle w:val="EMPTYCELLSTYLE"/>
            </w:pPr>
          </w:p>
        </w:tc>
      </w:tr>
      <w:tr w:rsidR="00C174B5" w14:paraId="0E27E7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07A408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892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19CD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7687A48" w14:textId="77777777" w:rsidR="00C174B5" w:rsidRDefault="00C174B5">
            <w:pPr>
              <w:pStyle w:val="EMPTYCELLSTYLE"/>
            </w:pPr>
          </w:p>
        </w:tc>
      </w:tr>
      <w:tr w:rsidR="00C174B5" w14:paraId="65D5423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BE76266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6B64C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C7A3F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646A874B" w14:textId="77777777" w:rsidR="00C174B5" w:rsidRDefault="00C174B5">
            <w:pPr>
              <w:pStyle w:val="EMPTYCELLSTYLE"/>
            </w:pPr>
          </w:p>
        </w:tc>
      </w:tr>
      <w:tr w:rsidR="00C174B5" w14:paraId="48893E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5AA02F" w14:textId="77777777" w:rsidR="00C174B5" w:rsidRDefault="00C174B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013E" w14:textId="77777777" w:rsidR="00C174B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7CFC7D03" w14:textId="77777777" w:rsidR="00C174B5" w:rsidRDefault="00C174B5">
            <w:pPr>
              <w:pStyle w:val="EMPTYCELLSTYLE"/>
            </w:pPr>
          </w:p>
        </w:tc>
        <w:tc>
          <w:tcPr>
            <w:tcW w:w="660" w:type="dxa"/>
          </w:tcPr>
          <w:p w14:paraId="7D54E5F4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3D06CA3C" w14:textId="77777777" w:rsidR="00C174B5" w:rsidRDefault="00C174B5">
            <w:pPr>
              <w:pStyle w:val="EMPTYCELLSTYLE"/>
            </w:pPr>
          </w:p>
        </w:tc>
      </w:tr>
      <w:tr w:rsidR="00C174B5" w14:paraId="7118E5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386B1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1371456C" w14:textId="77777777" w:rsidR="00C174B5" w:rsidRDefault="00C174B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B810192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F2626DE" w14:textId="77777777" w:rsidR="00C174B5" w:rsidRDefault="00C174B5">
            <w:pPr>
              <w:pStyle w:val="EMPTYCELLSTYLE"/>
            </w:pPr>
          </w:p>
        </w:tc>
        <w:tc>
          <w:tcPr>
            <w:tcW w:w="1440" w:type="dxa"/>
          </w:tcPr>
          <w:p w14:paraId="15ADCA9F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43038A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EB8D70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79DE665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F9C68F7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4E738F04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42426AA3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0901D56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653A6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EFED4" w14:textId="77777777" w:rsidR="00C174B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702CA54" w14:textId="77777777" w:rsidR="00C174B5" w:rsidRDefault="00C174B5">
            <w:pPr>
              <w:pStyle w:val="EMPTYCELLSTYLE"/>
            </w:pPr>
          </w:p>
        </w:tc>
      </w:tr>
      <w:tr w:rsidR="00C174B5" w14:paraId="6178CA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3167E8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E42C" w14:textId="77777777" w:rsidR="00C174B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51BD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8CE9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AAE6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14BE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BA19909" w14:textId="77777777" w:rsidR="00C174B5" w:rsidRDefault="00C174B5">
            <w:pPr>
              <w:pStyle w:val="EMPTYCELLSTYLE"/>
            </w:pPr>
          </w:p>
        </w:tc>
      </w:tr>
      <w:tr w:rsidR="00C174B5" w14:paraId="5DF964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1F22838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EBCB" w14:textId="77777777" w:rsidR="00C174B5" w:rsidRDefault="00C174B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C9E6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5FD6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6211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1167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4D1F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7AA7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1630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E7C8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D446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5B7E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4D3D759" w14:textId="77777777" w:rsidR="00C174B5" w:rsidRDefault="00C174B5">
            <w:pPr>
              <w:pStyle w:val="EMPTYCELLSTYLE"/>
            </w:pPr>
          </w:p>
        </w:tc>
      </w:tr>
      <w:tr w:rsidR="00C174B5" w14:paraId="71239C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99DC8E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1B2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E89A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427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074D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E06C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8C12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335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FE79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4371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3DF0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EBA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C6EC90B" w14:textId="77777777" w:rsidR="00C174B5" w:rsidRDefault="00C174B5">
            <w:pPr>
              <w:pStyle w:val="EMPTYCELLSTYLE"/>
            </w:pPr>
          </w:p>
        </w:tc>
      </w:tr>
      <w:tr w:rsidR="00C174B5" w14:paraId="4CEC8CE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E326EE1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49882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BAD49" w14:textId="77777777" w:rsidR="00C174B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техногенної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цивільного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ліквідації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ситуацій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39F4F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3198337,00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39915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4660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3198337,00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A617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942E2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7A43B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433E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-3198337,00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77E1A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DA85A" w14:textId="77777777" w:rsidR="00C174B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-3198337,00</w:t>
            </w:r>
          </w:p>
        </w:tc>
        <w:tc>
          <w:tcPr>
            <w:tcW w:w="400" w:type="dxa"/>
          </w:tcPr>
          <w:p w14:paraId="2A6056BE" w14:textId="77777777" w:rsidR="00C174B5" w:rsidRDefault="00C174B5">
            <w:pPr>
              <w:pStyle w:val="EMPTYCELLSTYLE"/>
            </w:pPr>
          </w:p>
        </w:tc>
      </w:tr>
      <w:tr w:rsidR="00C174B5" w14:paraId="7E92E7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E5E6D0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872F" w14:textId="77777777" w:rsidR="00C174B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B531D2C" w14:textId="77777777" w:rsidR="00C174B5" w:rsidRDefault="00C174B5">
            <w:pPr>
              <w:pStyle w:val="EMPTYCELLSTYLE"/>
            </w:pPr>
          </w:p>
        </w:tc>
      </w:tr>
      <w:tr w:rsidR="00C174B5" w14:paraId="60D36F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CD636E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5FAF" w14:textId="77777777" w:rsidR="00C174B5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69F858D" w14:textId="77777777" w:rsidR="00C174B5" w:rsidRDefault="00C174B5">
            <w:pPr>
              <w:pStyle w:val="EMPTYCELLSTYLE"/>
            </w:pPr>
          </w:p>
        </w:tc>
      </w:tr>
      <w:tr w:rsidR="00C174B5" w14:paraId="5A21E2C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A60D6C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5DEB" w14:textId="77777777" w:rsidR="00C174B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E11B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8F64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CD36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814F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A94BB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AC65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90A45BB" w14:textId="77777777" w:rsidR="00C174B5" w:rsidRDefault="00C174B5">
            <w:pPr>
              <w:pStyle w:val="EMPTYCELLSTYLE"/>
            </w:pPr>
          </w:p>
        </w:tc>
      </w:tr>
      <w:tr w:rsidR="00C174B5" w14:paraId="10090B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053CC9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E514" w14:textId="77777777" w:rsidR="00C174B5" w:rsidRDefault="00C174B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05F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6699" w14:textId="77777777" w:rsidR="00C174B5" w:rsidRDefault="00C174B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AB16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4AF9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2673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C426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AC63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2FD9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8886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5DB5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F193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61F3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11EA769" w14:textId="77777777" w:rsidR="00C174B5" w:rsidRDefault="00C174B5">
            <w:pPr>
              <w:pStyle w:val="EMPTYCELLSTYLE"/>
            </w:pPr>
          </w:p>
        </w:tc>
      </w:tr>
      <w:tr w:rsidR="00C174B5" w14:paraId="632034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10314D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2814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8C57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AFDC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64FC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FE20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DEA8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7C05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8D00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3A40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8FC1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A52B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5C75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B578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A6A8293" w14:textId="77777777" w:rsidR="00C174B5" w:rsidRDefault="00C174B5">
            <w:pPr>
              <w:pStyle w:val="EMPTYCELLSTYLE"/>
            </w:pPr>
          </w:p>
        </w:tc>
      </w:tr>
      <w:tr w:rsidR="00C174B5" w14:paraId="180D5A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20013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BDE8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7416C" w14:textId="77777777" w:rsidR="00C174B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CBC2" w14:textId="77777777" w:rsidR="00C174B5" w:rsidRDefault="00C174B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D7AC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C79C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9BB1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9DFB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875D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EB2D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08DE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1F97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AFE9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3F22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00D8CBC1" w14:textId="77777777" w:rsidR="00C174B5" w:rsidRDefault="00C174B5">
            <w:pPr>
              <w:pStyle w:val="EMPTYCELLSTYLE"/>
            </w:pPr>
          </w:p>
        </w:tc>
      </w:tr>
      <w:tr w:rsidR="00C174B5" w14:paraId="25F84D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35FFF20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B3F83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04E52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команди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96F70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4F8C0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7A828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3198337,00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AC82B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DF7F5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3198337,00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E3FC7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3185769,86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1A3F6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BF912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3185769,86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F062C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-12567,14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CAFA2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AB80A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-12567,14</w:t>
            </w:r>
          </w:p>
        </w:tc>
        <w:tc>
          <w:tcPr>
            <w:tcW w:w="400" w:type="dxa"/>
          </w:tcPr>
          <w:p w14:paraId="0093177A" w14:textId="77777777" w:rsidR="00C174B5" w:rsidRDefault="00C174B5">
            <w:pPr>
              <w:pStyle w:val="EMPTYCELLSTYLE"/>
            </w:pPr>
          </w:p>
        </w:tc>
      </w:tr>
      <w:tr w:rsidR="00C174B5" w14:paraId="48917C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C231D2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E101B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CB0A1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0DBA4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7038A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F7A41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20780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684F4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75B1D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F0C2E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2ED5E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912E0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6128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0FE16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C306B4E" w14:textId="77777777" w:rsidR="00C174B5" w:rsidRDefault="00C174B5">
            <w:pPr>
              <w:pStyle w:val="EMPTYCELLSTYLE"/>
            </w:pPr>
          </w:p>
        </w:tc>
      </w:tr>
      <w:tr w:rsidR="00C174B5" w14:paraId="4C698D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7392E1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8D57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92703" w14:textId="77777777" w:rsidR="00C174B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60DA" w14:textId="77777777" w:rsidR="00C174B5" w:rsidRDefault="00C174B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5EF7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066A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04CB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DC5A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4528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EEEB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699E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8760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3177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4F90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2ADF1D08" w14:textId="77777777" w:rsidR="00C174B5" w:rsidRDefault="00C174B5">
            <w:pPr>
              <w:pStyle w:val="EMPTYCELLSTYLE"/>
            </w:pPr>
          </w:p>
        </w:tc>
      </w:tr>
      <w:tr w:rsidR="00C174B5" w14:paraId="217F96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779F83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F1E35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6CB3E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FEA41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AAC90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AC7D5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1271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4D5A6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521A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940DD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A2A6A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9ECF8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48C0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BFF1E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37570C4C" w14:textId="77777777" w:rsidR="00C174B5" w:rsidRDefault="00C174B5">
            <w:pPr>
              <w:pStyle w:val="EMPTYCELLSTYLE"/>
            </w:pPr>
          </w:p>
        </w:tc>
      </w:tr>
      <w:tr w:rsidR="00C174B5" w14:paraId="719C4E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7271B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0B1B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ACB8D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914E" w14:textId="77777777" w:rsidR="00C174B5" w:rsidRDefault="00C174B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0FD6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6EEB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EF9C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FD08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C8B8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DFCA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018B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12C9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5B13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A845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0E4113AB" w14:textId="77777777" w:rsidR="00C174B5" w:rsidRDefault="00C174B5">
            <w:pPr>
              <w:pStyle w:val="EMPTYCELLSTYLE"/>
            </w:pPr>
          </w:p>
        </w:tc>
      </w:tr>
      <w:tr w:rsidR="00C174B5" w14:paraId="0CED1F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71EF60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8E35B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6FDB6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01F6E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2C9F5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A6D61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26652,80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316F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54E8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26652,80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1BB66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26771,18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F20A7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49663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26771,18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A2722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118,38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C3505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AC96D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118,38</w:t>
            </w:r>
          </w:p>
        </w:tc>
        <w:tc>
          <w:tcPr>
            <w:tcW w:w="400" w:type="dxa"/>
          </w:tcPr>
          <w:p w14:paraId="072E0E74" w14:textId="77777777" w:rsidR="00C174B5" w:rsidRDefault="00C174B5">
            <w:pPr>
              <w:pStyle w:val="EMPTYCELLSTYLE"/>
            </w:pPr>
          </w:p>
        </w:tc>
      </w:tr>
      <w:tr w:rsidR="00C174B5" w14:paraId="1C5445C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EEC93C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B074D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3D555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C1F34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5FB5D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8E0B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228452,64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1ED0E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EF61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228452,64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F260C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227554,99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34A9E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241F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227554,99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9DE9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-897,65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D7836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9875C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-897,65</w:t>
            </w:r>
          </w:p>
        </w:tc>
        <w:tc>
          <w:tcPr>
            <w:tcW w:w="400" w:type="dxa"/>
          </w:tcPr>
          <w:p w14:paraId="7A4AA2CB" w14:textId="77777777" w:rsidR="00C174B5" w:rsidRDefault="00C174B5">
            <w:pPr>
              <w:pStyle w:val="EMPTYCELLSTYLE"/>
            </w:pPr>
          </w:p>
        </w:tc>
      </w:tr>
      <w:tr w:rsidR="00C174B5" w14:paraId="51A4DC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068D48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EBC1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F3AD5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D08D" w14:textId="77777777" w:rsidR="00C174B5" w:rsidRDefault="00C174B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7C87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0F93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4DA5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AB94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1153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7EB6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D2C6" w14:textId="77777777" w:rsidR="00C174B5" w:rsidRDefault="00C174B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DAC8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1739" w14:textId="77777777" w:rsidR="00C174B5" w:rsidRDefault="00C174B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ED7A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43634041" w14:textId="77777777" w:rsidR="00C174B5" w:rsidRDefault="00C174B5">
            <w:pPr>
              <w:pStyle w:val="EMPTYCELLSTYLE"/>
            </w:pPr>
          </w:p>
        </w:tc>
      </w:tr>
      <w:tr w:rsidR="00C174B5" w14:paraId="128F5B4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CB665A1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5B931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E4F44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ліквідацію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39B99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529C0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F9D9E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E7B6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129C8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CD829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D9C80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99ADD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6EB3F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BBD5B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C346F" w14:textId="77777777" w:rsidR="00C174B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5846124" w14:textId="77777777" w:rsidR="00C174B5" w:rsidRDefault="00C174B5">
            <w:pPr>
              <w:pStyle w:val="EMPTYCELLSTYLE"/>
            </w:pPr>
          </w:p>
        </w:tc>
      </w:tr>
      <w:tr w:rsidR="00C174B5" w14:paraId="37A294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AC706E" w14:textId="77777777" w:rsidR="00C174B5" w:rsidRDefault="00C174B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261FF0F" w14:textId="77777777" w:rsidR="00C174B5" w:rsidRDefault="00C174B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82A6C8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34539AC" w14:textId="77777777" w:rsidR="00C174B5" w:rsidRDefault="00C174B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1C24E5C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1644CEDB" w14:textId="77777777" w:rsidR="00C174B5" w:rsidRDefault="00C174B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8C05A36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51B25E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77349770" w14:textId="77777777" w:rsidR="00C174B5" w:rsidRDefault="00C174B5">
            <w:pPr>
              <w:pStyle w:val="EMPTYCELLSTYLE"/>
            </w:pPr>
          </w:p>
        </w:tc>
      </w:tr>
      <w:tr w:rsidR="00C174B5" w14:paraId="238B2D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3A2D3C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3EA6" w14:textId="77777777" w:rsidR="00C174B5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30FE36DB" w14:textId="77777777" w:rsidR="00C174B5" w:rsidRDefault="00C174B5">
            <w:pPr>
              <w:pStyle w:val="EMPTYCELLSTYLE"/>
            </w:pPr>
          </w:p>
        </w:tc>
      </w:tr>
      <w:tr w:rsidR="00C174B5" w14:paraId="423A54F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D4FF07C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8B2D" w14:textId="77777777" w:rsidR="00C174B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E26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1AEF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2894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6C582DD" w14:textId="77777777" w:rsidR="00C174B5" w:rsidRDefault="00C174B5">
            <w:pPr>
              <w:pStyle w:val="EMPTYCELLSTYLE"/>
            </w:pPr>
          </w:p>
        </w:tc>
      </w:tr>
      <w:tr w:rsidR="00C174B5" w14:paraId="45AA23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DA6B29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DF29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E482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4D67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6421" w14:textId="77777777" w:rsidR="00C174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78CF546" w14:textId="77777777" w:rsidR="00C174B5" w:rsidRDefault="00C174B5">
            <w:pPr>
              <w:pStyle w:val="EMPTYCELLSTYLE"/>
            </w:pPr>
          </w:p>
        </w:tc>
      </w:tr>
      <w:tr w:rsidR="00C174B5" w14:paraId="6F3CCB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131C6F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8792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BBD30" w14:textId="77777777" w:rsidR="00C174B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A969" w14:textId="77777777" w:rsidR="00C174B5" w:rsidRDefault="00C174B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0C37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588E8979" w14:textId="77777777" w:rsidR="00C174B5" w:rsidRDefault="00C174B5">
            <w:pPr>
              <w:pStyle w:val="EMPTYCELLSTYLE"/>
            </w:pPr>
          </w:p>
        </w:tc>
      </w:tr>
      <w:tr w:rsidR="00C174B5" w14:paraId="1508BCE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A5B1129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E1973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33C86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команди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5C22A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684CD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 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стану”</w:t>
            </w:r>
          </w:p>
        </w:tc>
        <w:tc>
          <w:tcPr>
            <w:tcW w:w="400" w:type="dxa"/>
          </w:tcPr>
          <w:p w14:paraId="68516125" w14:textId="77777777" w:rsidR="00C174B5" w:rsidRDefault="00C174B5">
            <w:pPr>
              <w:pStyle w:val="EMPTYCELLSTYLE"/>
            </w:pPr>
          </w:p>
        </w:tc>
      </w:tr>
      <w:tr w:rsidR="00C174B5" w14:paraId="007681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42E7EC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7F698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BDEFD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66B79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5D973" w14:textId="77777777" w:rsidR="00C174B5" w:rsidRDefault="00C174B5">
            <w:pPr>
              <w:ind w:left="60"/>
            </w:pPr>
          </w:p>
        </w:tc>
        <w:tc>
          <w:tcPr>
            <w:tcW w:w="400" w:type="dxa"/>
          </w:tcPr>
          <w:p w14:paraId="1AB3D81D" w14:textId="77777777" w:rsidR="00C174B5" w:rsidRDefault="00C174B5">
            <w:pPr>
              <w:pStyle w:val="EMPTYCELLSTYLE"/>
            </w:pPr>
          </w:p>
        </w:tc>
      </w:tr>
      <w:tr w:rsidR="00C174B5" w14:paraId="2E9681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403DEF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DE9C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CAB03" w14:textId="77777777" w:rsidR="00C174B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6F99" w14:textId="77777777" w:rsidR="00C174B5" w:rsidRDefault="00C174B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34CB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39954576" w14:textId="77777777" w:rsidR="00C174B5" w:rsidRDefault="00C174B5">
            <w:pPr>
              <w:pStyle w:val="EMPTYCELLSTYLE"/>
            </w:pPr>
          </w:p>
        </w:tc>
      </w:tr>
      <w:tr w:rsidR="00C174B5" w14:paraId="0614688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EE1D0F9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AC6F6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F916D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AD611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33159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виклики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</w:p>
        </w:tc>
        <w:tc>
          <w:tcPr>
            <w:tcW w:w="400" w:type="dxa"/>
          </w:tcPr>
          <w:p w14:paraId="7EC9281A" w14:textId="77777777" w:rsidR="00C174B5" w:rsidRDefault="00C174B5">
            <w:pPr>
              <w:pStyle w:val="EMPTYCELLSTYLE"/>
            </w:pPr>
          </w:p>
        </w:tc>
      </w:tr>
      <w:tr w:rsidR="00C174B5" w14:paraId="1EAA87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FBD3D8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F183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02BF2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B869" w14:textId="77777777" w:rsidR="00C174B5" w:rsidRDefault="00C174B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5148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21503FC1" w14:textId="77777777" w:rsidR="00C174B5" w:rsidRDefault="00C174B5">
            <w:pPr>
              <w:pStyle w:val="EMPTYCELLSTYLE"/>
            </w:pPr>
          </w:p>
        </w:tc>
      </w:tr>
      <w:tr w:rsidR="00C174B5" w14:paraId="66E36B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2423BD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BB0FF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20E57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CE211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9846F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112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виклики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95,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400" w:type="dxa"/>
          </w:tcPr>
          <w:p w14:paraId="128A837F" w14:textId="77777777" w:rsidR="00C174B5" w:rsidRDefault="00C174B5">
            <w:pPr>
              <w:pStyle w:val="EMPTYCELLSTYLE"/>
            </w:pPr>
          </w:p>
        </w:tc>
      </w:tr>
      <w:tr w:rsidR="00C174B5" w14:paraId="07F856A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DA257A4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910BD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3D430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011C1" w14:textId="77777777" w:rsidR="00C174B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5C433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придбанням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стану».</w:t>
            </w:r>
          </w:p>
        </w:tc>
        <w:tc>
          <w:tcPr>
            <w:tcW w:w="400" w:type="dxa"/>
          </w:tcPr>
          <w:p w14:paraId="0CB49D04" w14:textId="77777777" w:rsidR="00C174B5" w:rsidRDefault="00C174B5">
            <w:pPr>
              <w:pStyle w:val="EMPTYCELLSTYLE"/>
            </w:pPr>
          </w:p>
        </w:tc>
      </w:tr>
      <w:tr w:rsidR="00C174B5" w14:paraId="46A77B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221BD7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DDA7" w14:textId="77777777" w:rsidR="00C174B5" w:rsidRDefault="00C174B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DFB47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A1B1" w14:textId="77777777" w:rsidR="00C174B5" w:rsidRDefault="00C174B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F2E8" w14:textId="77777777" w:rsidR="00C174B5" w:rsidRDefault="00C174B5">
            <w:pPr>
              <w:jc w:val="center"/>
            </w:pPr>
          </w:p>
        </w:tc>
        <w:tc>
          <w:tcPr>
            <w:tcW w:w="400" w:type="dxa"/>
          </w:tcPr>
          <w:p w14:paraId="56138A24" w14:textId="77777777" w:rsidR="00C174B5" w:rsidRDefault="00C174B5">
            <w:pPr>
              <w:pStyle w:val="EMPTYCELLSTYLE"/>
            </w:pPr>
          </w:p>
        </w:tc>
      </w:tr>
      <w:tr w:rsidR="00C174B5" w14:paraId="1F0A0E3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377B44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091AE" w14:textId="77777777" w:rsidR="00C174B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19FF7" w14:textId="77777777" w:rsidR="00C174B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ліквідацію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2CC2D" w14:textId="77777777" w:rsidR="00C174B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FC784" w14:textId="77777777" w:rsidR="00C174B5" w:rsidRDefault="00C174B5">
            <w:pPr>
              <w:ind w:left="60"/>
            </w:pPr>
          </w:p>
        </w:tc>
        <w:tc>
          <w:tcPr>
            <w:tcW w:w="400" w:type="dxa"/>
          </w:tcPr>
          <w:p w14:paraId="61B605D1" w14:textId="77777777" w:rsidR="00C174B5" w:rsidRDefault="00C174B5">
            <w:pPr>
              <w:pStyle w:val="EMPTYCELLSTYLE"/>
            </w:pPr>
          </w:p>
        </w:tc>
      </w:tr>
      <w:tr w:rsidR="00C174B5" w14:paraId="5F128B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D07EBE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B174A" w14:textId="77777777" w:rsidR="00C174B5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4D94AAC" w14:textId="77777777" w:rsidR="00C174B5" w:rsidRDefault="00C174B5">
            <w:pPr>
              <w:pStyle w:val="EMPTYCELLSTYLE"/>
            </w:pPr>
          </w:p>
        </w:tc>
      </w:tr>
      <w:tr w:rsidR="00C174B5" w14:paraId="2949429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585CBA8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2DB60" w14:textId="77777777" w:rsidR="00C174B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2024році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99,61%,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</w:t>
            </w:r>
            <w:proofErr w:type="gramStart"/>
            <w:r>
              <w:t>року)</w:t>
            </w:r>
            <w:proofErr w:type="spellStart"/>
            <w:r>
              <w:t>відсутня</w:t>
            </w:r>
            <w:proofErr w:type="spellEnd"/>
            <w:proofErr w:type="gram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1206C892" w14:textId="77777777" w:rsidR="00C174B5" w:rsidRDefault="00C174B5">
            <w:pPr>
              <w:pStyle w:val="EMPTYCELLSTYLE"/>
            </w:pPr>
          </w:p>
        </w:tc>
      </w:tr>
      <w:tr w:rsidR="00C174B5" w14:paraId="17E1B7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8C3B25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05A8" w14:textId="77777777" w:rsidR="00C174B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7D3EAC0" w14:textId="77777777" w:rsidR="00C174B5" w:rsidRDefault="00C174B5">
            <w:pPr>
              <w:pStyle w:val="EMPTYCELLSTYLE"/>
            </w:pPr>
          </w:p>
        </w:tc>
      </w:tr>
      <w:tr w:rsidR="00C174B5" w14:paraId="062B967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93CCA5B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E7D1" w14:textId="77777777" w:rsidR="00C174B5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контролю за </w:t>
            </w:r>
            <w:proofErr w:type="spellStart"/>
            <w:r>
              <w:t>дотриманням</w:t>
            </w:r>
            <w:proofErr w:type="spellEnd"/>
            <w:r>
              <w:t xml:space="preserve"> </w:t>
            </w:r>
            <w:proofErr w:type="spellStart"/>
            <w:r>
              <w:t>протипожежних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 та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400" w:type="dxa"/>
          </w:tcPr>
          <w:p w14:paraId="7B68FFD5" w14:textId="77777777" w:rsidR="00C174B5" w:rsidRDefault="00C174B5">
            <w:pPr>
              <w:pStyle w:val="EMPTYCELLSTYLE"/>
            </w:pPr>
          </w:p>
        </w:tc>
      </w:tr>
      <w:tr w:rsidR="00C174B5" w14:paraId="7D59FF1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1378E39" w14:textId="77777777" w:rsidR="00C174B5" w:rsidRDefault="00C174B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EF61" w14:textId="77777777" w:rsidR="00C174B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78751CD" w14:textId="77777777" w:rsidR="00C174B5" w:rsidRDefault="00C174B5">
            <w:pPr>
              <w:pStyle w:val="EMPTYCELLSTYLE"/>
            </w:pPr>
          </w:p>
        </w:tc>
      </w:tr>
      <w:tr w:rsidR="00C174B5" w14:paraId="549F735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09BD220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74D8D516" w14:textId="77777777" w:rsidR="00C174B5" w:rsidRDefault="00C174B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D73A76D" w14:textId="77777777" w:rsidR="00C174B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8EADE56" w14:textId="77777777" w:rsidR="00C174B5" w:rsidRDefault="00C174B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56045A3" w14:textId="77777777" w:rsidR="00C174B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95C4120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433B4A55" w14:textId="77777777" w:rsidR="00C174B5" w:rsidRDefault="00C174B5">
            <w:pPr>
              <w:pStyle w:val="EMPTYCELLSTYLE"/>
            </w:pPr>
          </w:p>
        </w:tc>
      </w:tr>
      <w:tr w:rsidR="00C174B5" w14:paraId="20716DD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41805D5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28A46537" w14:textId="77777777" w:rsidR="00C174B5" w:rsidRDefault="00C174B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5CBC898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35DB525A" w14:textId="77777777" w:rsidR="00C174B5" w:rsidRDefault="00C174B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9F30616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4718" w14:textId="77777777" w:rsidR="00C174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3A09" w14:textId="77777777" w:rsidR="00C174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A084EB4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4BC0044A" w14:textId="77777777" w:rsidR="00C174B5" w:rsidRDefault="00C174B5">
            <w:pPr>
              <w:pStyle w:val="EMPTYCELLSTYLE"/>
            </w:pPr>
          </w:p>
        </w:tc>
      </w:tr>
      <w:tr w:rsidR="00C174B5" w14:paraId="09EDB81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A908F1A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56CEADCA" w14:textId="77777777" w:rsidR="00C174B5" w:rsidRDefault="00C174B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1EDF3F3" w14:textId="77777777" w:rsidR="00C174B5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0B49BC0" w14:textId="77777777" w:rsidR="00C174B5" w:rsidRDefault="00C174B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BC7F2DD" w14:textId="77777777" w:rsidR="00C174B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60BCC127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444AF033" w14:textId="77777777" w:rsidR="00C174B5" w:rsidRDefault="00C174B5">
            <w:pPr>
              <w:pStyle w:val="EMPTYCELLSTYLE"/>
            </w:pPr>
          </w:p>
        </w:tc>
      </w:tr>
      <w:tr w:rsidR="00C174B5" w14:paraId="7895E91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FBCCD01" w14:textId="77777777" w:rsidR="00C174B5" w:rsidRDefault="00C174B5">
            <w:pPr>
              <w:pStyle w:val="EMPTYCELLSTYLE"/>
            </w:pPr>
          </w:p>
        </w:tc>
        <w:tc>
          <w:tcPr>
            <w:tcW w:w="700" w:type="dxa"/>
          </w:tcPr>
          <w:p w14:paraId="0911A078" w14:textId="77777777" w:rsidR="00C174B5" w:rsidRDefault="00C174B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445CDE0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</w:tcPr>
          <w:p w14:paraId="04F7B949" w14:textId="77777777" w:rsidR="00C174B5" w:rsidRDefault="00C174B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E8BCDC2" w14:textId="77777777" w:rsidR="00C174B5" w:rsidRDefault="00C174B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53B5" w14:textId="77777777" w:rsidR="00C174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247D" w14:textId="77777777" w:rsidR="00C174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FE5B22A" w14:textId="77777777" w:rsidR="00C174B5" w:rsidRDefault="00C174B5">
            <w:pPr>
              <w:pStyle w:val="EMPTYCELLSTYLE"/>
            </w:pPr>
          </w:p>
        </w:tc>
        <w:tc>
          <w:tcPr>
            <w:tcW w:w="400" w:type="dxa"/>
          </w:tcPr>
          <w:p w14:paraId="09F0DE89" w14:textId="77777777" w:rsidR="00C174B5" w:rsidRDefault="00C174B5">
            <w:pPr>
              <w:pStyle w:val="EMPTYCELLSTYLE"/>
            </w:pPr>
          </w:p>
        </w:tc>
      </w:tr>
    </w:tbl>
    <w:p w14:paraId="2A1CD1FB" w14:textId="77777777" w:rsidR="00102105" w:rsidRDefault="00102105"/>
    <w:sectPr w:rsidR="0010210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B5"/>
    <w:rsid w:val="00102105"/>
    <w:rsid w:val="005D0E24"/>
    <w:rsid w:val="00A301E4"/>
    <w:rsid w:val="00C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81B5"/>
  <w15:docId w15:val="{787D20E7-7C53-40B2-B6AB-510B0F45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2026-03-18T14:49:00Z</dcterms:created>
  <dcterms:modified xsi:type="dcterms:W3CDTF">2026-03-18T14:49:00Z</dcterms:modified>
</cp:coreProperties>
</file>